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05" w:rsidRPr="00BD7705" w:rsidRDefault="00BD7705" w:rsidP="00BD7705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'Толстых М.П.', Усмонов УД.</w:t>
      </w:r>
      <w:r w:rsidRPr="00BD7705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</w:p>
    <w:p w:rsidR="00BD7705" w:rsidRPr="00BD7705" w:rsidRDefault="00BD7705" w:rsidP="00BD7705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ГУП ВПО «МГМСУ Росздрава», Москва, РФ;</w:t>
      </w:r>
      <w:r w:rsidRPr="00BD7705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Андижанский государственный медицинский институт, Андижан, Узбекистан</w:t>
      </w:r>
    </w:p>
    <w:p w:rsidR="00BD7705" w:rsidRPr="00BD7705" w:rsidRDefault="00BD7705" w:rsidP="00BD7705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BD7705">
        <w:rPr>
          <w:rFonts w:ascii="Arial" w:eastAsia="Times New Roman" w:hAnsi="Arial" w:cs="Arial"/>
          <w:i/>
          <w:iCs/>
          <w:color w:val="232323"/>
          <w:sz w:val="27"/>
          <w:szCs w:val="27"/>
          <w:lang w:val="en-US" w:eastAsia="ru-RU"/>
        </w:rPr>
        <w:t>Tolstikh M.P., Usmonov U.D. (Moscow, RUSSIA; Andizhan, UZBEKISTAN)</w:t>
      </w:r>
    </w:p>
    <w:p w:rsidR="00BD7705" w:rsidRPr="00BD7705" w:rsidRDefault="00BD7705" w:rsidP="00BD7705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BD7705">
        <w:rPr>
          <w:rFonts w:ascii="Arial" w:eastAsia="Times New Roman" w:hAnsi="Arial" w:cs="Arial"/>
          <w:b/>
          <w:bCs/>
          <w:i/>
          <w:iCs/>
          <w:color w:val="232323"/>
          <w:sz w:val="27"/>
          <w:szCs w:val="27"/>
          <w:lang w:val="en-US" w:eastAsia="ru-RU"/>
        </w:rPr>
        <w:t>EFFECTS OF SORPTION, ANTIOXIDANT AND LOW-LEVEL LASER THERAPY AT THE LEVEL OF ENDOGENIC INTOXICATION AND LIPOPEROXIDATION IN PATIENTS WITH NONTUMOURAL MECHANICAL JAUNDICE</w:t>
      </w:r>
    </w:p>
    <w:p w:rsidR="00BD7705" w:rsidRPr="00BD7705" w:rsidRDefault="00BD7705" w:rsidP="00BD7705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BD7705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 </w:t>
      </w:r>
    </w:p>
    <w:p w:rsidR="00BD7705" w:rsidRPr="00BD7705" w:rsidRDefault="00BD7705" w:rsidP="00BD7705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D7705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Цель. 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Улучшить результаты лечения больных с неопухолевой механической желтухой (МЖ) путем включения в комплекс ле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чебных мероприятий энтеросорбции (ЭС), антиоксидантной и НИЛИ-терапии методом внутривенного лазерного облучения крови (БЛОК).</w:t>
      </w:r>
    </w:p>
    <w:p w:rsidR="00BD7705" w:rsidRPr="00BD7705" w:rsidRDefault="00BD7705" w:rsidP="00BD7705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D7705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Материал и методы. 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Нами изучены результаты комплексного лечения 132 пациентов с неопухолевой МЖ, из которых мужчин -49(37,1%), а женщин- 83 (62,9%). В зависимости от способов лечения исследуемые больные разделены на 3 группы: I группу составили 36 (27,3%) больных, которым в комплекс лечебных мероприятий включали ЭС энтеросорбентом АУ-К; II группу со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ставили 47 (35,6%) больных, которым наряду с ЭС назначали фла-воноидный препарат протефлазид и проводили сеансы ВЛОК. Для проведения сеансов ВЛОК использовали гелий-неоновый лазер с длиной волны 632,8 нм, мощность лазерного излучения на выходе световода 6 мВт, длительность облучения 20 мин. Контрольную группу составили 49 (37,1%) больных, у которых использовали традиционные способы терапии.</w:t>
      </w:r>
    </w:p>
    <w:p w:rsidR="00BD7705" w:rsidRPr="00BD7705" w:rsidRDefault="00BD7705" w:rsidP="00BD7705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D7705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Результаты. 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Анализ результатов лабораторных исследований свидетельствовал, что в I и II группах уровень индекса лейкоци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тарной и эндогенной интоксикации достиг нормальных значений на 5-6-е сутки после начала курса лечения, что на 4-5 дней раньше, чем при традиционном лечении. Нормализация уровня молекул средней массы во II группе наступала на 5-е сутки послеоперацион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ного периода. ВI группе больных уровень малонового диальдегида снизился перед операцией на 4,9%, а на 2-3-и сутки после опера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ции на 8,8%. Уровень данного показателя у больных II группы на 2-3-и сутки после операции достоверно снизился на 23,8%. При традиционном лечении к этому сроку снижение данного показателя происходило медленно (на 8,9%) и процесс пероксидации сохра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нялся. Уровень диеновых конъюгатов во II группе снизился на 2-3-и сутки в послеоперационном периоде в 1,3 раза и достоверно отличался относительно исходных данных.</w:t>
      </w:r>
    </w:p>
    <w:p w:rsidR="00BD7705" w:rsidRPr="00BD7705" w:rsidRDefault="00BD7705" w:rsidP="00BD7705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D7705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Заключение. 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у больных с МЖ неопухолевого ге-неза ЭС, АОТ и ВЛОК являются необходимыми компонентами патогенетической терапии, так как, взаимно потенцируя друг друга, позитивно влияют на уровень эндогенной интоксикации, липопероксидации и могут быть использованы во всех общехи</w:t>
      </w: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рургических стационарах.</w:t>
      </w:r>
    </w:p>
    <w:p w:rsidR="00BD7705" w:rsidRPr="00BD7705" w:rsidRDefault="00BD7705" w:rsidP="00BD77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D770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174A1E" w:rsidRDefault="00174A1E"/>
    <w:sectPr w:rsidR="00174A1E" w:rsidSect="0017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7705"/>
    <w:rsid w:val="00174A1E"/>
    <w:rsid w:val="00BD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2018-07-27T10:56:00Z</dcterms:created>
  <dcterms:modified xsi:type="dcterms:W3CDTF">2018-07-27T10:56:00Z</dcterms:modified>
</cp:coreProperties>
</file>