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E80" w:rsidRDefault="00442E80" w:rsidP="00442E80">
      <w:pPr>
        <w:pStyle w:val="a3"/>
        <w:jc w:val="both"/>
        <w:rPr>
          <w:rFonts w:ascii="Arial" w:hAnsi="Arial" w:cs="Arial"/>
          <w:color w:val="232323"/>
          <w:sz w:val="27"/>
          <w:szCs w:val="27"/>
        </w:rPr>
      </w:pPr>
      <w:r>
        <w:rPr>
          <w:rFonts w:ascii="Arial" w:hAnsi="Arial" w:cs="Arial"/>
          <w:color w:val="232323"/>
          <w:sz w:val="27"/>
          <w:szCs w:val="27"/>
        </w:rPr>
        <w:t>Ю.В.Алексеев, М.Э.Соколов, Т.В. Деграве, С.П. Гладких. Т.А. Горькова. </w:t>
      </w:r>
      <w:r>
        <w:rPr>
          <w:rFonts w:ascii="Arial" w:hAnsi="Arial" w:cs="Arial"/>
          <w:color w:val="232323"/>
          <w:sz w:val="27"/>
          <w:szCs w:val="27"/>
        </w:rPr>
        <w:br/>
        <w:t>ГНЦ лазерной медицины МЗ РФ, г Москва, Россия</w:t>
      </w:r>
    </w:p>
    <w:p w:rsidR="00442E80" w:rsidRDefault="00442E80" w:rsidP="00442E80">
      <w:pPr>
        <w:pStyle w:val="a3"/>
        <w:jc w:val="both"/>
        <w:rPr>
          <w:rFonts w:ascii="Arial" w:hAnsi="Arial" w:cs="Arial"/>
          <w:color w:val="232323"/>
          <w:sz w:val="27"/>
          <w:szCs w:val="27"/>
        </w:rPr>
      </w:pPr>
      <w:r>
        <w:rPr>
          <w:rFonts w:ascii="Arial" w:hAnsi="Arial" w:cs="Arial"/>
          <w:color w:val="232323"/>
          <w:sz w:val="27"/>
          <w:szCs w:val="27"/>
        </w:rPr>
        <w:t> </w:t>
      </w:r>
    </w:p>
    <w:p w:rsidR="00442E80" w:rsidRDefault="00442E80" w:rsidP="00442E80">
      <w:pPr>
        <w:pStyle w:val="a3"/>
        <w:jc w:val="both"/>
        <w:rPr>
          <w:rFonts w:ascii="Arial" w:hAnsi="Arial" w:cs="Arial"/>
          <w:color w:val="232323"/>
          <w:sz w:val="27"/>
          <w:szCs w:val="27"/>
        </w:rPr>
      </w:pPr>
      <w:r>
        <w:rPr>
          <w:rFonts w:ascii="Arial" w:hAnsi="Arial" w:cs="Arial"/>
          <w:color w:val="232323"/>
          <w:sz w:val="27"/>
          <w:szCs w:val="27"/>
        </w:rPr>
        <w:t>В настоящее время активно изучаются возможности применения лазерной биофотометрии для диагностики ряда заболеваний и контроля за эффективностью различных методов лечения. По нашему мнению наибольший интерес представляет биофотометрия с использованием светодиодного излучения в ИК- диапазоне. Ранее нами были использованы аппараты </w:t>
      </w:r>
      <w:r>
        <w:rPr>
          <w:rStyle w:val="a4"/>
          <w:rFonts w:ascii="Arial" w:hAnsi="Arial" w:cs="Arial"/>
          <w:color w:val="232323"/>
          <w:sz w:val="27"/>
          <w:szCs w:val="27"/>
        </w:rPr>
        <w:t>"Милта-Ф"</w:t>
      </w:r>
      <w:r>
        <w:rPr>
          <w:rFonts w:ascii="Arial" w:hAnsi="Arial" w:cs="Arial"/>
          <w:color w:val="232323"/>
          <w:sz w:val="27"/>
          <w:szCs w:val="27"/>
        </w:rPr>
        <w:t> со встроенным в излучающий терминал биофотометром для оценки состояния сосудистых реакций в коже при некоторых патологических состояниях (Алексеев Ю.В Марченко В.В., Гладких С.П. 1997г; Полонский А.К., Балаков В Ф., Дацкевич Н.П., Алексеев Ю.В и др. 1998г. и т.д.). Однако опыт клинического применения диагностических возможностей биофотометра был ограничен невысокой чувствительностью фотоэлементов к сигналам отражения с глубоких слоев тканей из-за рассеяния излучения по их структурам. Биофотометрия отражала изменения кровотока в коже над очагами воспаления и позволяла более точно рассчитывать дозировку лазерного облучения при различных заболеваниях.</w:t>
      </w:r>
    </w:p>
    <w:p w:rsidR="00442E80" w:rsidRDefault="00442E80" w:rsidP="00442E80">
      <w:pPr>
        <w:pStyle w:val="a3"/>
        <w:jc w:val="both"/>
        <w:rPr>
          <w:rFonts w:ascii="Arial" w:hAnsi="Arial" w:cs="Arial"/>
          <w:color w:val="232323"/>
          <w:sz w:val="27"/>
          <w:szCs w:val="27"/>
        </w:rPr>
      </w:pPr>
      <w:r>
        <w:rPr>
          <w:rFonts w:ascii="Arial" w:hAnsi="Arial" w:cs="Arial"/>
          <w:color w:val="232323"/>
          <w:sz w:val="27"/>
          <w:szCs w:val="27"/>
        </w:rPr>
        <w:t>В дальнейшем в данном аппарате фоторегистраторы были вынесены за пределы излучающего терминала, что позволило измерять отраженный сигнал в условных единицах от более глубоких структур. Так, в эксперименте на добровольцах измерялась функциональная гиперемия, вызванная физической нагрузкой (ладонная поверхность кистей рук) при упражнениях с эспандером и гиперемия при нагреве над четырехглавой мышцей бедра (при нагрузке на мышцы ног). Коэффициенты отражения достоверно снижались от 10% до 30% по сравнению с группой контроля (покой) и коррелировали с повышением регионального систолического давления на подколенных артериях (измерения над четырехглавой мышцей бедра), регистрируемого с помощью ультразвуковой допплерографии. Также проводилась фотометрия донорской крови в фиксированном объеме: цельной крови, эритроцитарной массы и нативной плазмы. В качестве контроля использовался консервант СДРА-1.</w:t>
      </w:r>
    </w:p>
    <w:p w:rsidR="00442E80" w:rsidRDefault="00442E80" w:rsidP="00442E80">
      <w:pPr>
        <w:pStyle w:val="a3"/>
        <w:jc w:val="both"/>
        <w:rPr>
          <w:rFonts w:ascii="Arial" w:hAnsi="Arial" w:cs="Arial"/>
          <w:color w:val="232323"/>
          <w:sz w:val="27"/>
          <w:szCs w:val="27"/>
        </w:rPr>
      </w:pPr>
      <w:r>
        <w:rPr>
          <w:rFonts w:ascii="Arial" w:hAnsi="Arial" w:cs="Arial"/>
          <w:color w:val="232323"/>
          <w:sz w:val="27"/>
          <w:szCs w:val="27"/>
        </w:rPr>
        <w:t xml:space="preserve">Замеры коэффициента отражения, фиксирующегося на дисплее аппарата в условных единицах, проводились через определенные интервалы времени в течении от 0 до 330 секунд. По результатам измерений отмечены достоверные различия среднего коэффициента отражения в трех группах. Наименьший уровень отражения наблюдался у эритроцитарной массы, затем у цельной крови и плазмы. При разведении эритроцитарной массы уровень отражения пропорционально увеличивался. В динамике по времени было отмечено постепенное достоверное на 20%-25% снижение уровня отражения в первые 180 сек. </w:t>
      </w:r>
      <w:r>
        <w:rPr>
          <w:rFonts w:ascii="Arial" w:hAnsi="Arial" w:cs="Arial"/>
          <w:color w:val="232323"/>
          <w:sz w:val="27"/>
          <w:szCs w:val="27"/>
        </w:rPr>
        <w:lastRenderedPageBreak/>
        <w:t>облучения крови и эритроцитарной массы, затем он не менялся и был представлен на графике в виде изолинии. Отсутствие изменения уровня отражения от времени отмечено при облучении консерванта и плазмы.</w:t>
      </w:r>
    </w:p>
    <w:p w:rsidR="00442E80" w:rsidRDefault="00442E80" w:rsidP="00442E80">
      <w:pPr>
        <w:pStyle w:val="a3"/>
        <w:jc w:val="both"/>
        <w:rPr>
          <w:rFonts w:ascii="Arial" w:hAnsi="Arial" w:cs="Arial"/>
          <w:color w:val="232323"/>
          <w:sz w:val="27"/>
          <w:szCs w:val="27"/>
        </w:rPr>
      </w:pPr>
      <w:r>
        <w:rPr>
          <w:rFonts w:ascii="Arial" w:hAnsi="Arial" w:cs="Arial"/>
          <w:color w:val="232323"/>
          <w:sz w:val="27"/>
          <w:szCs w:val="27"/>
        </w:rPr>
        <w:t>Полученные результаты, по нашему мнению, свидетельствуют о том, что излучение данных параметров в основном поглощается кровью, а именно гемоглобином и растворенным кислородом, что позволяет определять степень ишемии ткани. Особый интерес представляет изменение отражения в зависимости от параметра доза/время облучения. Можно предположить, что на первых секундах облучения происходит переход кислорода, связанного в геме и растворенного в плазме в активное "синглетное" состояние с подпиткой свободными электронами дыхательных цепей эритроцитов и образованием свободных радикалов. При насыщении энергией облучаемого объекта происходит максимально активный синтез АТФ, продолжающийся до полного истощения энергоресурсов субстрата (свежей крови требуется то же время для стабилизации коэффициента отражения). Полученные результаты могут быть использованы при разработках лазерных биофотометрических аппаратов для качественной и количественной оценки состояния эритроцитов крови.</w:t>
      </w:r>
    </w:p>
    <w:p w:rsidR="00881911" w:rsidRDefault="00881911"/>
    <w:sectPr w:rsidR="00881911" w:rsidSect="008819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42E80"/>
    <w:rsid w:val="00442E80"/>
    <w:rsid w:val="00881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2E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E80"/>
    <w:rPr>
      <w:b/>
      <w:bCs/>
    </w:rPr>
  </w:style>
</w:styles>
</file>

<file path=word/webSettings.xml><?xml version="1.0" encoding="utf-8"?>
<w:webSettings xmlns:r="http://schemas.openxmlformats.org/officeDocument/2006/relationships" xmlns:w="http://schemas.openxmlformats.org/wordprocessingml/2006/main">
  <w:divs>
    <w:div w:id="2052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2018-07-27T10:43:00Z</dcterms:created>
  <dcterms:modified xsi:type="dcterms:W3CDTF">2018-07-27T10:44:00Z</dcterms:modified>
</cp:coreProperties>
</file>