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УДК 616.24-002-053.2-085.849.19</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Малиновский Е. Л.</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w:t>
      </w:r>
    </w:p>
    <w:p w:rsidR="00923341" w:rsidRPr="00923341" w:rsidRDefault="00923341" w:rsidP="00923341">
      <w:pPr>
        <w:spacing w:after="0" w:line="240" w:lineRule="auto"/>
        <w:jc w:val="center"/>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ООО «Центр реабилитации», г. Обнинск, </w:t>
      </w:r>
      <w:hyperlink r:id="rId4" w:history="1">
        <w:r w:rsidRPr="00923341">
          <w:rPr>
            <w:rFonts w:ascii="Arial" w:eastAsia="Times New Roman" w:hAnsi="Arial" w:cs="Arial"/>
            <w:color w:val="25B7BC"/>
            <w:sz w:val="27"/>
            <w:lang w:eastAsia="ru-RU"/>
          </w:rPr>
          <w:t>melich@mail.ru</w:t>
        </w:r>
      </w:hyperlink>
    </w:p>
    <w:p w:rsidR="00923341" w:rsidRPr="00923341" w:rsidRDefault="00923341" w:rsidP="00923341">
      <w:pPr>
        <w:spacing w:after="0" w:line="240" w:lineRule="auto"/>
        <w:jc w:val="center"/>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В течение последних двух десятилетий в цивилизованных странах большую актуальность приобрел синдром хронической усталости (СХУ), охватывающий по различным оценкам от 3 до 5% взрослого населения. Характерным признаком заболевания является длительное   хроническое утомление, не исчезающее после продолжительного отдыха. По мере прогрессирования заболевание приводит к значительному снижению работоспособности – как умственной, так и физической, а по мере прогрессирования может явиться причиной развития астенических синдромов, иммунодепрессивных состояний [1]. Социальные группы риска по развитию этого заболевания включают жителей мегаполисов, предпринимателей; клинические группы риска включают больных тяжелыми и длительными заболеваниями, заболеваниями хронического типа с медленным положительным прогрессированием при проведении интенсивных лечебных мероприятий.</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В основе традиционных подходов диагностики СХУ лежит исключительно клиническая диагностика, опирающаяся на данные субъективного характера: жалобы пациента и анамнестические данные, сообщаемые самим больным.</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Ориентация в диагностике заболевания исключительно на данные субъективного характера, а кроме того, зачастую нечеткая клиническая картина, маскирующаяся под различные неврологические расстройства нередко приводит к диагностическим ошибкам, следствием которых является неправильная тактика лечения таких больных. Также следует учитывать обширную группу больных с вегетативными дисфункциями гипотонического типа, симптоматика при которых может маскироваться под СХУ.</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Проблема установления правильного диагноза, несомненно, усугубляется отсутствием объективных способов обследования больных, дополняющих клинические методы диагностики, а целом – отсутствием в широком обиходе правильных методологических подходов при определении патогенеза заболевания.</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b/>
          <w:bCs/>
          <w:color w:val="232323"/>
          <w:sz w:val="27"/>
          <w:lang w:eastAsia="ru-RU"/>
        </w:rPr>
        <w:t>Целью </w:t>
      </w:r>
      <w:r w:rsidRPr="00923341">
        <w:rPr>
          <w:rFonts w:ascii="Arial" w:eastAsia="Times New Roman" w:hAnsi="Arial" w:cs="Arial"/>
          <w:color w:val="232323"/>
          <w:sz w:val="27"/>
          <w:szCs w:val="27"/>
          <w:lang w:eastAsia="ru-RU"/>
        </w:rPr>
        <w:t>настоящего исследования является апробация объективного метода диагностики синдрома хронической усталости, базирующегося на фотоплетизмографической технологии тестирования вегетативных реакций.</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b/>
          <w:bCs/>
          <w:color w:val="232323"/>
          <w:sz w:val="27"/>
          <w:lang w:eastAsia="ru-RU"/>
        </w:rPr>
        <w:t>Материалы и методы</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xml:space="preserve">Исследование проводилось в основной и контрольной группах. В основной группе исследовались больные СХУ, выявленные на основе клинических данных, контрольную группу составили 32 взрослых пациента, наблюдавшиеся в различными заболеваниями соматического </w:t>
      </w:r>
      <w:r w:rsidRPr="00923341">
        <w:rPr>
          <w:rFonts w:ascii="Arial" w:eastAsia="Times New Roman" w:hAnsi="Arial" w:cs="Arial"/>
          <w:color w:val="232323"/>
          <w:sz w:val="27"/>
          <w:szCs w:val="27"/>
          <w:lang w:eastAsia="ru-RU"/>
        </w:rPr>
        <w:lastRenderedPageBreak/>
        <w:t>характера, но имевшими жалобы на наличие усталости как вторичного признака их заболеваний.</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В основную группу исследования вошли 22 больных, обратившихся с жалобами, характерными для СХУ. Общими для всех пациентов были жалобы на постоянную усталость, «снижение уровня жизненной силы». Остальные жалобы носили непостоянный характер. Наибольшую частоту из них предъявлялись на наличие бессонницы и снижение работоспособности (по 12,5%).</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Наибольшее количество больных в обеих группах исследования составили женщины (59,1% в основной и 65,6% в контрольной группах).</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Оценка распределения больных СХУ по возрастным группам выявило наибольшую заболеваемость   в возрастной группе 40-49 лет   (рис. 1).</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drawing>
          <wp:inline distT="0" distB="0" distL="0" distR="0">
            <wp:extent cx="5391150" cy="1828800"/>
            <wp:effectExtent l="0" t="0" r="0" b="0"/>
            <wp:docPr id="1" name="Рисунок 1" descr="https://milta-f.ru/images/diag_sh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ta-f.ru/images/diag_shu1.gif"/>
                    <pic:cNvPicPr>
                      <a:picLocks noChangeAspect="1" noChangeArrowheads="1"/>
                    </pic:cNvPicPr>
                  </pic:nvPicPr>
                  <pic:blipFill>
                    <a:blip r:embed="rId5" cstate="print"/>
                    <a:srcRect/>
                    <a:stretch>
                      <a:fillRect/>
                    </a:stretch>
                  </pic:blipFill>
                  <pic:spPr bwMode="auto">
                    <a:xfrm>
                      <a:off x="0" y="0"/>
                      <a:ext cx="5391150" cy="1828800"/>
                    </a:xfrm>
                    <a:prstGeom prst="rect">
                      <a:avLst/>
                    </a:prstGeom>
                    <a:noFill/>
                    <a:ln w="9525">
                      <a:noFill/>
                      <a:miter lim="800000"/>
                      <a:headEnd/>
                      <a:tailEnd/>
                    </a:ln>
                  </pic:spPr>
                </pic:pic>
              </a:graphicData>
            </a:graphic>
          </wp:inline>
        </w:drawing>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Рис. 1. Возрастной состав основной и контрольной группы исследования.</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Для объективного исследования больных использовалась авторская тестовая методика фотоплетизмографической диагностики, получившая название визуального вегетативного теста, разработанная для прогнозирования результатов низкоинтенсивной лазерной терапии [2, 3, 4] и других методов физиотерапевтического лечения [5].</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Суть тестирования заключается в определении влияния вегетативной нервной системы на периферическую микроциркуляторную гемодинамику в процессе кратковременного (в течение 2-х минут) визуального раздражения красным цветом. При кажущейся «легковесности» визуальное раздражение красным цветом оказывает мощное воздействие на организм посредством активации эрготропной зоны вегетативной нервной системы, что порождает ответные реакции исполнительных систем, поддерживающих гомеостатическое равновесие и в первую очередь – сердечно-сосудистой системы.</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Регистрация реакции сердечно-сосудистой и вегетативной системы на визуальное раздражение производится с помощью пальцевой фотоплетизмографии,  основывающейся на исследовании оптической плотности концевой фаланги кисти руки с использованием оптопары «просветного» типа. Интенсивность света, рассеянного исследуемым участком ткани, определяется оптическими свойствами тканей, имеющих в пределах периода измерения константное значение и притекающей кровью к исследуемому участку, объем которой изменяется в динамике каждого сердечного цикла. </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lastRenderedPageBreak/>
        <w:t>При этом визуализируемая картина представляется наблюдателю в виде пульсовых волн, повторяющих временную и амплитудную динамику  сердечного цикла (рис. 2).</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drawing>
          <wp:inline distT="0" distB="0" distL="0" distR="0">
            <wp:extent cx="5467350" cy="1104900"/>
            <wp:effectExtent l="19050" t="0" r="0" b="0"/>
            <wp:docPr id="2" name="Рисунок 2" descr="https://milta-f.ru/images/diag_sh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ta-f.ru/images/diag_shu2.jpg"/>
                    <pic:cNvPicPr>
                      <a:picLocks noChangeAspect="1" noChangeArrowheads="1"/>
                    </pic:cNvPicPr>
                  </pic:nvPicPr>
                  <pic:blipFill>
                    <a:blip r:embed="rId6" cstate="print"/>
                    <a:srcRect/>
                    <a:stretch>
                      <a:fillRect/>
                    </a:stretch>
                  </pic:blipFill>
                  <pic:spPr bwMode="auto">
                    <a:xfrm>
                      <a:off x="0" y="0"/>
                      <a:ext cx="5467350" cy="1104900"/>
                    </a:xfrm>
                    <a:prstGeom prst="rect">
                      <a:avLst/>
                    </a:prstGeom>
                    <a:noFill/>
                    <a:ln w="9525">
                      <a:noFill/>
                      <a:miter lim="800000"/>
                      <a:headEnd/>
                      <a:tailEnd/>
                    </a:ln>
                  </pic:spPr>
                </pic:pic>
              </a:graphicData>
            </a:graphic>
          </wp:inline>
        </w:drawing>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Рис. 2. Фрагмент фотоплетизмограммы, записанной с датчика на дистальной фаланге пальца кисти.</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Оценка фотоплетизмографических показателей при реализации каждой пульсовой волны, записанной в процессе исследования производится программно с использованием аппаратно-программного фотоплетизмографического комплекса «Диалаз». Критерии оценки фотоплетизмограмм объединены в тестовую систему, получившую название «ТОАРО» (слово составлено по начальным буквам: тестовое определение адаптационных резервов организма).</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К ним относятся следующие критерии: направленность первичной реакции после начала визуального раздражения красным цветом; время появления первичной фотоплетизмографической реакции после начала исследования; общая продолжительность периодов активации и торможения во время исследования; нарушение этапности распределения периодов торможения и возбуждения; наличие атипичных фотоплетизмографических реакций; средняя сила адаптационной гемодинамической реакции; визуальные признаки качественных изменений пульсовых волн.</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Важным критерием при проведении ВВТ является нарушение толерантности к красному цвету, заключающееся в появление просьб со стороны больного о досрочном прекращении тестирования по причине появления у исследуемого различных дискомфортных реакций, обусловленных вегетативными нарушениями [6, 7].</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Непереносимость красного цвета при проведении ВВТ имеет неравнозначное значение в различных половых и возрастных группах, встречаясь с наибольшим приоритетом у исследуемых женского пола (68,2%), и, особенно, у девочек-подростков в возрастной группе 13-15 лет (31,8%) [8].</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b/>
          <w:bCs/>
          <w:color w:val="232323"/>
          <w:sz w:val="27"/>
          <w:lang w:eastAsia="ru-RU"/>
        </w:rPr>
        <w:t>Результаты и их обсуждение</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При оценке нарушения толерантности к красному цвету была выявлена непереносимость ВВТ в основной группе в количестве 22,7% пациентов; в контрольной группе это значение составило 3,1%.</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Анализ количественных критериев тест-системы «ТОАРО» выявил превалирование процессов активации у больных с синдромом хронической усталости по всем исследуемым критериям (рис. 3), у больных контрольной группы эти показатели находятся в пределах «гармоничной» вегетативной регуляции (рис. 4).</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lastRenderedPageBreak/>
        <w:drawing>
          <wp:inline distT="0" distB="0" distL="0" distR="0">
            <wp:extent cx="5486400" cy="1133475"/>
            <wp:effectExtent l="19050" t="0" r="0" b="0"/>
            <wp:docPr id="3" name="Рисунок 3" descr="https://milta-f.ru/images/diag_sh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lta-f.ru/images/diag_shu3.jpg"/>
                    <pic:cNvPicPr>
                      <a:picLocks noChangeAspect="1" noChangeArrowheads="1"/>
                    </pic:cNvPicPr>
                  </pic:nvPicPr>
                  <pic:blipFill>
                    <a:blip r:embed="rId7" cstate="print"/>
                    <a:srcRect/>
                    <a:stretch>
                      <a:fillRect/>
                    </a:stretch>
                  </pic:blipFill>
                  <pic:spPr bwMode="auto">
                    <a:xfrm>
                      <a:off x="0" y="0"/>
                      <a:ext cx="5486400" cy="1133475"/>
                    </a:xfrm>
                    <a:prstGeom prst="rect">
                      <a:avLst/>
                    </a:prstGeom>
                    <a:noFill/>
                    <a:ln w="9525">
                      <a:noFill/>
                      <a:miter lim="800000"/>
                      <a:headEnd/>
                      <a:tailEnd/>
                    </a:ln>
                  </pic:spPr>
                </pic:pic>
              </a:graphicData>
            </a:graphic>
          </wp:inline>
        </w:drawing>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Рис. 3. Характер фотоплетизмографической реакции при синдроме хронической усталости. Средняя сила реакции 73%, доля процессов активации 100%.</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drawing>
          <wp:inline distT="0" distB="0" distL="0" distR="0">
            <wp:extent cx="5486400" cy="1133475"/>
            <wp:effectExtent l="19050" t="0" r="0" b="0"/>
            <wp:docPr id="4" name="Рисунок 4" descr="https://milta-f.ru/images/diag_sh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lta-f.ru/images/diag_shu4.jpg"/>
                    <pic:cNvPicPr>
                      <a:picLocks noChangeAspect="1" noChangeArrowheads="1"/>
                    </pic:cNvPicPr>
                  </pic:nvPicPr>
                  <pic:blipFill>
                    <a:blip r:embed="rId8" cstate="print"/>
                    <a:srcRect/>
                    <a:stretch>
                      <a:fillRect/>
                    </a:stretch>
                  </pic:blipFill>
                  <pic:spPr bwMode="auto">
                    <a:xfrm>
                      <a:off x="0" y="0"/>
                      <a:ext cx="5486400" cy="1133475"/>
                    </a:xfrm>
                    <a:prstGeom prst="rect">
                      <a:avLst/>
                    </a:prstGeom>
                    <a:noFill/>
                    <a:ln w="9525">
                      <a:noFill/>
                      <a:miter lim="800000"/>
                      <a:headEnd/>
                      <a:tailEnd/>
                    </a:ln>
                  </pic:spPr>
                </pic:pic>
              </a:graphicData>
            </a:graphic>
          </wp:inline>
        </w:drawing>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Рис. 4. Характер фотоплетизмографической реакции при нормативной вегетативной функции. Средняя сила реакции 12%, доля процессов активации 78,1%, долевая продолжительность процессов торможения 21,9%.</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Наибольшее количество случаев нарушения толерантности к красному цвету у больных в основной группе исследования является следствием сверхвысокой эрготропной активности вегетативной нервной системы и дополнительное ее раздражение красным цветом ведет к возрастанию уже завышенных процессов активации, что в конечном итоге приводит к запредельному возбуждению центральных отделов нервной системы с последующим запуском стресс-лимитирующих защитных механизмов, проявляющихся на клиническом уровне в виде различных симптомов психовегетативного характера. Об этом свидетельствует и превалирование процессов активации с одновременным подавлением тормозных механизмов трофотропного плана, выявленных в процессе выполнения фотоплетизмографического исследования при ВВТ.</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Исследование особенностей влияния на биосистему кратковременного визуального раздражения красным цветом выявило с одной стороны, безвредность исследования – даже при ухудшении самочувствия больного в процессе исследования в ближайшие 10-15 минут предъявленные жалобы исчезают и самочувствие больного восстанавливается до полного благополучия.</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А с другой стороны, возмущающее действие красного цвета при проведении ВВТ вызывает неоднозначную реакцию адаптационных систем организма, выявляя в период его непродолжительной активации дефектные зоны в механизмах гомеостатической регуляции, скрытые от исследователя в период относительного покоя организма.</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Реагирование вегетативной нервной системы в процессе визуального раздражения красным цветом по типу переактивации соответствует по Л.Х. Гаркави (1990) стрессу по типу переактивации [9].</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xml:space="preserve">Таким образом, на основании полученных данных патогенетическим обоснованием СХУ является разновидностью невроза регулирующих </w:t>
      </w:r>
      <w:r w:rsidRPr="00923341">
        <w:rPr>
          <w:rFonts w:ascii="Arial" w:eastAsia="Times New Roman" w:hAnsi="Arial" w:cs="Arial"/>
          <w:color w:val="232323"/>
          <w:sz w:val="27"/>
          <w:szCs w:val="27"/>
          <w:lang w:eastAsia="ru-RU"/>
        </w:rPr>
        <w:lastRenderedPageBreak/>
        <w:t>центров вегетативной нервной системы, обуславливающих подавление (игнорирование) восстановительных трофотропных процессов с превалированием активационных процессов.</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w:t>
      </w:r>
      <w:r w:rsidRPr="00923341">
        <w:rPr>
          <w:rFonts w:ascii="Arial" w:eastAsia="Times New Roman" w:hAnsi="Arial" w:cs="Arial"/>
          <w:b/>
          <w:bCs/>
          <w:color w:val="232323"/>
          <w:sz w:val="27"/>
          <w:lang w:eastAsia="ru-RU"/>
        </w:rPr>
        <w:t>В заключение </w:t>
      </w:r>
      <w:r w:rsidRPr="00923341">
        <w:rPr>
          <w:rFonts w:ascii="Arial" w:eastAsia="Times New Roman" w:hAnsi="Arial" w:cs="Arial"/>
          <w:color w:val="232323"/>
          <w:sz w:val="27"/>
          <w:szCs w:val="27"/>
          <w:lang w:eastAsia="ru-RU"/>
        </w:rPr>
        <w:t>можно добавить, что исследование особенностей вегетативной регуляции на основе качественных и количественных критериев оценки фотоплетизмограмм в процессе выполнения визуального вегетативного тестирования, а также определение толерантности к красному цвету предоставляет данные объективного характера. Выявленные особенности этих критериев при целевом исследовании больных, страдающих синдромом хронической усталости дает основание для использования вегетативного визуального тестирования для объективной диагностики синдрома хронической усталости в дополнение к существующим клиническим методам.</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 </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b/>
          <w:bCs/>
          <w:color w:val="232323"/>
          <w:sz w:val="27"/>
          <w:lang w:eastAsia="ru-RU"/>
        </w:rPr>
        <w:t>Библиография</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1.        </w:t>
      </w:r>
      <w:r w:rsidRPr="00923341">
        <w:rPr>
          <w:rFonts w:ascii="Arial" w:eastAsia="Times New Roman" w:hAnsi="Arial" w:cs="Arial"/>
          <w:i/>
          <w:iCs/>
          <w:color w:val="232323"/>
          <w:sz w:val="27"/>
          <w:lang w:eastAsia="ru-RU"/>
        </w:rPr>
        <w:t>Клебанова В.А. </w:t>
      </w:r>
      <w:r w:rsidRPr="00923341">
        <w:rPr>
          <w:rFonts w:ascii="Arial" w:eastAsia="Times New Roman" w:hAnsi="Arial" w:cs="Arial"/>
          <w:color w:val="232323"/>
          <w:sz w:val="27"/>
          <w:szCs w:val="27"/>
          <w:lang w:eastAsia="ru-RU"/>
        </w:rPr>
        <w:t>Синдром хронической усталости (обзор) // Гигиена и санитария. 1995. N1. С.144-148.</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2.        </w:t>
      </w:r>
      <w:r w:rsidRPr="00923341">
        <w:rPr>
          <w:rFonts w:ascii="Arial" w:eastAsia="Times New Roman" w:hAnsi="Arial" w:cs="Arial"/>
          <w:i/>
          <w:iCs/>
          <w:color w:val="232323"/>
          <w:sz w:val="27"/>
          <w:lang w:eastAsia="ru-RU"/>
        </w:rPr>
        <w:t>Малиновский Е.Л., Картелишев А.В., Евстигнеев А.Р. </w:t>
      </w:r>
      <w:r w:rsidRPr="00923341">
        <w:rPr>
          <w:rFonts w:ascii="Arial" w:eastAsia="Times New Roman" w:hAnsi="Arial" w:cs="Arial"/>
          <w:color w:val="232323"/>
          <w:sz w:val="27"/>
          <w:szCs w:val="27"/>
          <w:lang w:eastAsia="ru-RU"/>
        </w:rPr>
        <w:t> Повышение эффективности лазерной терапии с использованием фотоплетизмографических технологий// Сб. мат. Российской научно-практической конференции «Актуальные вопросы реабилитации в XXI веке» (медицинские, социальные, психолого-педагогические и организационные). Под. ред. Н.Е. Мажара, Т.В. Косенковой/ Смоленск. 2008. с93-95.</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3.        </w:t>
      </w:r>
      <w:r w:rsidRPr="00923341">
        <w:rPr>
          <w:rFonts w:ascii="Arial" w:eastAsia="Times New Roman" w:hAnsi="Arial" w:cs="Arial"/>
          <w:i/>
          <w:iCs/>
          <w:color w:val="232323"/>
          <w:sz w:val="27"/>
          <w:lang w:eastAsia="ru-RU"/>
        </w:rPr>
        <w:t>Малиновский Е.Л., Картелишев А.В., Церковная Ю.Е. </w:t>
      </w:r>
      <w:r w:rsidRPr="00923341">
        <w:rPr>
          <w:rFonts w:ascii="Arial" w:eastAsia="Times New Roman" w:hAnsi="Arial" w:cs="Arial"/>
          <w:color w:val="232323"/>
          <w:sz w:val="27"/>
          <w:szCs w:val="27"/>
          <w:lang w:eastAsia="ru-RU"/>
        </w:rPr>
        <w:t>Анализ типов реагирования больных на НИЛТ по результатам визуального вегетативного теста // Ж. «Лазерная мед.». 2007. Т. 11. вып. 3. с. 17-21.</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4.        </w:t>
      </w:r>
      <w:r w:rsidRPr="00923341">
        <w:rPr>
          <w:rFonts w:ascii="Arial" w:eastAsia="Times New Roman" w:hAnsi="Arial" w:cs="Arial"/>
          <w:i/>
          <w:iCs/>
          <w:color w:val="232323"/>
          <w:sz w:val="27"/>
          <w:lang w:eastAsia="ru-RU"/>
        </w:rPr>
        <w:t>Малиновский Е.Л., Картелишев А.В., Церковная Ю.Е. </w:t>
      </w:r>
      <w:r w:rsidRPr="00923341">
        <w:rPr>
          <w:rFonts w:ascii="Arial" w:eastAsia="Times New Roman" w:hAnsi="Arial" w:cs="Arial"/>
          <w:color w:val="232323"/>
          <w:sz w:val="27"/>
          <w:szCs w:val="27"/>
          <w:lang w:eastAsia="ru-RU"/>
        </w:rPr>
        <w:t>Визуальный вегетативный тест в прогнозировании индивидуального типа реагирования больных на низкоинтенсивную лазерную терапию // Ж. «Педиатрия». 2007. № 4. с. 51-62.</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5.        </w:t>
      </w:r>
      <w:r w:rsidRPr="00923341">
        <w:rPr>
          <w:rFonts w:ascii="Arial" w:eastAsia="Times New Roman" w:hAnsi="Arial" w:cs="Arial"/>
          <w:i/>
          <w:iCs/>
          <w:color w:val="232323"/>
          <w:sz w:val="27"/>
          <w:lang w:eastAsia="ru-RU"/>
        </w:rPr>
        <w:t>Малиновский Е.Л. </w:t>
      </w:r>
      <w:r w:rsidRPr="00923341">
        <w:rPr>
          <w:rFonts w:ascii="Arial" w:eastAsia="Times New Roman" w:hAnsi="Arial" w:cs="Arial"/>
          <w:color w:val="232323"/>
          <w:sz w:val="27"/>
          <w:szCs w:val="27"/>
          <w:lang w:eastAsia="ru-RU"/>
        </w:rPr>
        <w:t>Планирование курса рефлексотерапии с использованием визуального вегетативного теста// Ж. Рефлексология. 2007. №3-4 (15-16). с75-81.</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6.        </w:t>
      </w:r>
      <w:r w:rsidRPr="00923341">
        <w:rPr>
          <w:rFonts w:ascii="Arial" w:eastAsia="Times New Roman" w:hAnsi="Arial" w:cs="Arial"/>
          <w:i/>
          <w:iCs/>
          <w:color w:val="232323"/>
          <w:sz w:val="27"/>
          <w:lang w:eastAsia="ru-RU"/>
        </w:rPr>
        <w:t>Картелишев А.В., Малиновский Е.Л., Елисеенко В.И., Румянцев А.Г. и др.</w:t>
      </w:r>
      <w:r w:rsidRPr="00923341">
        <w:rPr>
          <w:rFonts w:ascii="Arial" w:eastAsia="Times New Roman" w:hAnsi="Arial" w:cs="Arial"/>
          <w:color w:val="232323"/>
          <w:sz w:val="27"/>
          <w:szCs w:val="27"/>
          <w:lang w:eastAsia="ru-RU"/>
        </w:rPr>
        <w:t> Оптимизация режимов курсовой низкоинтенсивной лазерной терапии по данным мониторного фотоплетизмографического тестирования: Пособие для врачей. 29 с. Утверждено Научным Советом по лазерной медицине РАМН и Росздрава (Протокол № 05/07-2 от 03.05.2007 г.).</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7.        </w:t>
      </w:r>
      <w:r w:rsidRPr="00923341">
        <w:rPr>
          <w:rFonts w:ascii="Arial" w:eastAsia="Times New Roman" w:hAnsi="Arial" w:cs="Arial"/>
          <w:i/>
          <w:iCs/>
          <w:color w:val="232323"/>
          <w:sz w:val="27"/>
          <w:lang w:eastAsia="ru-RU"/>
        </w:rPr>
        <w:t>Малиновский Е.Л.</w:t>
      </w:r>
      <w:r w:rsidRPr="00923341">
        <w:rPr>
          <w:rFonts w:ascii="Arial" w:eastAsia="Times New Roman" w:hAnsi="Arial" w:cs="Arial"/>
          <w:color w:val="232323"/>
          <w:sz w:val="27"/>
          <w:szCs w:val="27"/>
          <w:lang w:eastAsia="ru-RU"/>
        </w:rPr>
        <w:t> Диагностика синдрома хронической усталости с использованием визуального вегетативного тестирования// Сб. науч. тр. «Здоровье и здоровый образ жизни: состояние и перспективы (медико-психологические, социальные, правовые и экологические аспекты)». Под ред. Т.В. Косенковой, Ю.Л. Мизерницкого, Н.Е. Мажара. Смоленск. 2008. с.159-163.</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lastRenderedPageBreak/>
        <w:t>8.        </w:t>
      </w:r>
      <w:r w:rsidRPr="00923341">
        <w:rPr>
          <w:rFonts w:ascii="Arial" w:eastAsia="Times New Roman" w:hAnsi="Arial" w:cs="Arial"/>
          <w:i/>
          <w:iCs/>
          <w:color w:val="232323"/>
          <w:sz w:val="27"/>
          <w:lang w:eastAsia="ru-RU"/>
        </w:rPr>
        <w:t>Малиновский Е.Л.</w:t>
      </w:r>
      <w:r w:rsidRPr="00923341">
        <w:rPr>
          <w:rFonts w:ascii="Arial" w:eastAsia="Times New Roman" w:hAnsi="Arial" w:cs="Arial"/>
          <w:color w:val="232323"/>
          <w:sz w:val="27"/>
          <w:szCs w:val="27"/>
          <w:lang w:eastAsia="ru-RU"/>
        </w:rPr>
        <w:t> Маркеры прогноза индивидуального реагирования детей и подростков на курсовую лазерную терапию для оптимизации ее режимов// Дисс… канд. мед. наук. Москва. 2007. 216 с.</w:t>
      </w:r>
    </w:p>
    <w:p w:rsidR="00923341" w:rsidRPr="00923341" w:rsidRDefault="00923341" w:rsidP="00923341">
      <w:pPr>
        <w:spacing w:after="0" w:line="240" w:lineRule="auto"/>
        <w:jc w:val="both"/>
        <w:rPr>
          <w:rFonts w:ascii="Arial" w:eastAsia="Times New Roman" w:hAnsi="Arial" w:cs="Arial"/>
          <w:color w:val="232323"/>
          <w:sz w:val="27"/>
          <w:szCs w:val="27"/>
          <w:lang w:eastAsia="ru-RU"/>
        </w:rPr>
      </w:pPr>
      <w:r w:rsidRPr="00923341">
        <w:rPr>
          <w:rFonts w:ascii="Arial" w:eastAsia="Times New Roman" w:hAnsi="Arial" w:cs="Arial"/>
          <w:color w:val="232323"/>
          <w:sz w:val="27"/>
          <w:szCs w:val="27"/>
          <w:lang w:eastAsia="ru-RU"/>
        </w:rPr>
        <w:t>9.        </w:t>
      </w:r>
      <w:r w:rsidRPr="00923341">
        <w:rPr>
          <w:rFonts w:ascii="Arial" w:eastAsia="Times New Roman" w:hAnsi="Arial" w:cs="Arial"/>
          <w:i/>
          <w:iCs/>
          <w:color w:val="232323"/>
          <w:sz w:val="27"/>
          <w:lang w:eastAsia="ru-RU"/>
        </w:rPr>
        <w:t>Гаркави Л.Х., Квакина Е.Б., Уколова М.А. </w:t>
      </w:r>
      <w:r w:rsidRPr="00923341">
        <w:rPr>
          <w:rFonts w:ascii="Arial" w:eastAsia="Times New Roman" w:hAnsi="Arial" w:cs="Arial"/>
          <w:color w:val="232323"/>
          <w:sz w:val="27"/>
          <w:szCs w:val="27"/>
          <w:lang w:eastAsia="ru-RU"/>
        </w:rPr>
        <w:t>Адаптационные реакции и резистентность организма. Ростов н/Д: Изд. Ростовского университета, 1990. 224 с.</w:t>
      </w:r>
    </w:p>
    <w:p w:rsidR="00FA1E90" w:rsidRDefault="00FA1E90"/>
    <w:sectPr w:rsidR="00FA1E90" w:rsidSect="00FA1E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3341"/>
    <w:rsid w:val="00923341"/>
    <w:rsid w:val="00FA1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3341"/>
    <w:rPr>
      <w:color w:val="0000FF"/>
      <w:u w:val="single"/>
    </w:rPr>
  </w:style>
  <w:style w:type="character" w:styleId="a4">
    <w:name w:val="Strong"/>
    <w:basedOn w:val="a0"/>
    <w:uiPriority w:val="22"/>
    <w:qFormat/>
    <w:rsid w:val="00923341"/>
    <w:rPr>
      <w:b/>
      <w:bCs/>
    </w:rPr>
  </w:style>
  <w:style w:type="character" w:styleId="a5">
    <w:name w:val="Emphasis"/>
    <w:basedOn w:val="a0"/>
    <w:uiPriority w:val="20"/>
    <w:qFormat/>
    <w:rsid w:val="00923341"/>
    <w:rPr>
      <w:i/>
      <w:iCs/>
    </w:rPr>
  </w:style>
  <w:style w:type="paragraph" w:styleId="a6">
    <w:name w:val="Balloon Text"/>
    <w:basedOn w:val="a"/>
    <w:link w:val="a7"/>
    <w:uiPriority w:val="99"/>
    <w:semiHidden/>
    <w:unhideWhenUsed/>
    <w:rsid w:val="009233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4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mailto:melich@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2018-07-27T10:28:00Z</dcterms:created>
  <dcterms:modified xsi:type="dcterms:W3CDTF">2018-07-27T10:28:00Z</dcterms:modified>
</cp:coreProperties>
</file>