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398" w:rsidRPr="00C31398" w:rsidRDefault="00C31398" w:rsidP="00C313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3139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НАДСОСУДИСТОЕ ЛАЗЕРНОЕ ОБЛУЧЕНИЕ КРОВИ В КОМПЛЕКСНОМ ЛЕЧЕНИИ СУРДОЛОГИЧЕСКИХ БОЛЬНЫХ</w:t>
      </w:r>
    </w:p>
    <w:p w:rsidR="00C31398" w:rsidRPr="00C31398" w:rsidRDefault="00C31398" w:rsidP="00C313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Лапченко А.С., Кучеров А.Г.</w:t>
      </w:r>
    </w:p>
    <w:p w:rsidR="00C31398" w:rsidRPr="00C31398" w:rsidRDefault="00C31398" w:rsidP="00C313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Кафедра </w:t>
      </w: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ЛОР-болезней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лечебного факультета РГМУ, Москва, РФ </w:t>
      </w:r>
      <w:proofErr w:type="spellStart"/>
      <w:r w:rsidRPr="00C31398">
        <w:rPr>
          <w:rFonts w:ascii="Arial" w:eastAsia="Times New Roman" w:hAnsi="Arial" w:cs="Arial"/>
          <w:i/>
          <w:iCs/>
          <w:color w:val="000000"/>
          <w:sz w:val="27"/>
          <w:szCs w:val="27"/>
          <w:lang w:val="en-US" w:eastAsia="ru-RU"/>
        </w:rPr>
        <w:t>Lapchenko</w:t>
      </w:r>
      <w:proofErr w:type="spellEnd"/>
      <w:r w:rsidRPr="00C31398">
        <w:rPr>
          <w:rFonts w:ascii="Arial" w:eastAsia="Times New Roman" w:hAnsi="Arial" w:cs="Arial"/>
          <w:i/>
          <w:iCs/>
          <w:color w:val="000000"/>
          <w:sz w:val="27"/>
          <w:szCs w:val="27"/>
          <w:lang w:val="en-US" w:eastAsia="ru-RU"/>
        </w:rPr>
        <w:t> A</w:t>
      </w:r>
      <w:r w:rsidRPr="00C3139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</w:t>
      </w:r>
      <w:r w:rsidRPr="00C31398">
        <w:rPr>
          <w:rFonts w:ascii="Arial" w:eastAsia="Times New Roman" w:hAnsi="Arial" w:cs="Arial"/>
          <w:i/>
          <w:iCs/>
          <w:color w:val="000000"/>
          <w:sz w:val="27"/>
          <w:szCs w:val="27"/>
          <w:lang w:val="en-US" w:eastAsia="ru-RU"/>
        </w:rPr>
        <w:t>S</w:t>
      </w:r>
      <w:r w:rsidRPr="00C3139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., </w:t>
      </w:r>
      <w:proofErr w:type="spellStart"/>
      <w:r w:rsidRPr="00C31398">
        <w:rPr>
          <w:rFonts w:ascii="Arial" w:eastAsia="Times New Roman" w:hAnsi="Arial" w:cs="Arial"/>
          <w:i/>
          <w:iCs/>
          <w:color w:val="000000"/>
          <w:sz w:val="27"/>
          <w:szCs w:val="27"/>
          <w:lang w:val="en-US" w:eastAsia="ru-RU"/>
        </w:rPr>
        <w:t>Kucherov</w:t>
      </w:r>
      <w:proofErr w:type="spellEnd"/>
      <w:r w:rsidRPr="00C31398">
        <w:rPr>
          <w:rFonts w:ascii="Arial" w:eastAsia="Times New Roman" w:hAnsi="Arial" w:cs="Arial"/>
          <w:i/>
          <w:iCs/>
          <w:color w:val="000000"/>
          <w:sz w:val="27"/>
          <w:szCs w:val="27"/>
          <w:lang w:val="en-US" w:eastAsia="ru-RU"/>
        </w:rPr>
        <w:t> A</w:t>
      </w:r>
      <w:r w:rsidRPr="00C3139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</w:t>
      </w:r>
      <w:r w:rsidRPr="00C31398">
        <w:rPr>
          <w:rFonts w:ascii="Arial" w:eastAsia="Times New Roman" w:hAnsi="Arial" w:cs="Arial"/>
          <w:i/>
          <w:iCs/>
          <w:color w:val="000000"/>
          <w:sz w:val="27"/>
          <w:szCs w:val="27"/>
          <w:lang w:val="en-US" w:eastAsia="ru-RU"/>
        </w:rPr>
        <w:t>G</w:t>
      </w:r>
      <w:r w:rsidRPr="00C3139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 (</w:t>
      </w:r>
      <w:r w:rsidRPr="00C31398">
        <w:rPr>
          <w:rFonts w:ascii="Arial" w:eastAsia="Times New Roman" w:hAnsi="Arial" w:cs="Arial"/>
          <w:i/>
          <w:iCs/>
          <w:color w:val="000000"/>
          <w:sz w:val="27"/>
          <w:szCs w:val="27"/>
          <w:lang w:val="en-US" w:eastAsia="ru-RU"/>
        </w:rPr>
        <w:t>Moscow</w:t>
      </w:r>
      <w:r w:rsidRPr="00C3139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 </w:t>
      </w:r>
      <w:r w:rsidRPr="00C31398">
        <w:rPr>
          <w:rFonts w:ascii="Arial" w:eastAsia="Times New Roman" w:hAnsi="Arial" w:cs="Arial"/>
          <w:i/>
          <w:iCs/>
          <w:color w:val="000000"/>
          <w:sz w:val="27"/>
          <w:szCs w:val="27"/>
          <w:lang w:val="en-US" w:eastAsia="ru-RU"/>
        </w:rPr>
        <w:t>RUSSIA</w:t>
      </w:r>
      <w:r w:rsidRPr="00C3139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)</w:t>
      </w:r>
    </w:p>
    <w:p w:rsidR="00C31398" w:rsidRPr="00C31398" w:rsidRDefault="00C31398" w:rsidP="00C313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C3139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val="en-US" w:eastAsia="ru-RU"/>
        </w:rPr>
        <w:t>SUPRAVASCULAR LASER BLOOD IRRADIATION IN THE COMPLEX TREATMENT OF PATIENTS WITH SURDOLOGICAL PROBLEMS</w:t>
      </w:r>
    </w:p>
    <w:p w:rsidR="00C31398" w:rsidRPr="00C31398" w:rsidRDefault="00C31398" w:rsidP="00C313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C31398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> </w:t>
      </w:r>
    </w:p>
    <w:p w:rsidR="00C31398" w:rsidRPr="00C31398" w:rsidRDefault="00C31398" w:rsidP="00C3139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Актуальность проблемы </w:t>
      </w: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кохлеовестибулярных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расстройств оп</w:t>
      </w: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ределяется их социальной значимостью и недостаточно высокой эффективностью существующих методов лечения. В связи с этим целью наших исследований явилась оптимизация лечения боль</w:t>
      </w: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ных, страдающих </w:t>
      </w: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кохлеовестибулярными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расстройствами при </w:t>
      </w: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гидропсе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лабиринта за счет дополнения традиционной терапии методом </w:t>
      </w: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надсосудистого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лазерного облучения крови. При лазерном облучении крови неспецифическая регуляция био</w:t>
      </w: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логически значимых процессов наиболее выражена. Происходит изменение механических, транспортных, структурных и других свойств мембран, органелл и клеток, а также активности биохи</w:t>
      </w: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мических реакций. Применение низкоэнергетического лазерного воздействия оказывает </w:t>
      </w: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дезинтоксикационный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эффект, снижает вязкость крови, стимулирует регенерацию тканей, повышает </w:t>
      </w: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</w:t>
      </w: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зистентность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клеток к </w:t>
      </w: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патогенам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стимулирует общие и местные факторы иммунной защиты, вызывает нормализацию липидного обмена. В данном исследовании был оценен эффект разработан</w:t>
      </w: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ной нами методики </w:t>
      </w: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надсосудистого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лазерного облучения крови в комплексном лечении больных с </w:t>
      </w: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кохлеовестибулярными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рас</w:t>
      </w: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стройствами.</w:t>
      </w:r>
    </w:p>
    <w:p w:rsidR="00C31398" w:rsidRPr="00C31398" w:rsidRDefault="00C31398" w:rsidP="00C3139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Проведен анализ лечения 217 больных, страдающих </w:t>
      </w: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кохлеовес</w:t>
      </w: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тибулярными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нарушениями и </w:t>
      </w:r>
      <w:proofErr w:type="gram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подтвержденным</w:t>
      </w:r>
      <w:proofErr w:type="gram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гидропсом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ла</w:t>
      </w: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биринта. По данным комплексного </w:t>
      </w: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аудиологического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исследова</w:t>
      </w: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ния, у всех обследованных нами больных имела место различная степень выраженности одно- или двусторонней </w:t>
      </w: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нейросенсорной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тугоухости, сопровождающаяся субъективным ушным шумом различной частоты и интенсивности, а также вестибулярными расстройствами.</w:t>
      </w:r>
    </w:p>
    <w:p w:rsidR="00C31398" w:rsidRPr="00C31398" w:rsidRDefault="00C31398" w:rsidP="00C3139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Анализировали две группы больных: в первую группу входили пациенты, получавшие только традиционное лечение, во вто</w:t>
      </w: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рую группу входили больные, которым комплексно проводили традиционную терапию и </w:t>
      </w: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надсосудистое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лазерное облучение крови.</w:t>
      </w:r>
    </w:p>
    <w:p w:rsidR="00C31398" w:rsidRPr="00C31398" w:rsidRDefault="00C31398" w:rsidP="00C31398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Надсосудистое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лазерное облучение крови осуществляли полу</w:t>
      </w: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проводниковым терапевтическим лазером «Мустанг» с насадкой КЛОЗ, с длиной волны 0,65 мкм и мощностью излучения на выходе из манипулятора около 25 мВт, по разработанной нами схеме еже</w:t>
      </w: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дневно, сеансы различной продолжительности: 30—25—20—15—10— 10-15-20-25-30 минут (курс лечения составлял 10 дней). Анализ полученных данных показал, что в результате применения </w:t>
      </w: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надсосудистой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лазеротерапии за счет позитивного влияния на сис</w:t>
      </w: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тему «ПОЛ-АОС» отмечен клинический эффект, выражавшийся в субъективном и объективном улучшении слуха, уменьшении шума в ушах и улучшении вестибулярной функции (исчезновение или уменьшение количества приступов головокружения и улучшение равновесия).</w:t>
      </w:r>
    </w:p>
    <w:p w:rsidR="00C31398" w:rsidRPr="00C31398" w:rsidRDefault="00C31398" w:rsidP="00C31398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Таким образом, разработанный и применяемый нами метод </w:t>
      </w: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над</w:t>
      </w:r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сосудистого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лазерного облучения крови, являясь </w:t>
      </w: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неинвазивным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потенциально безопасен, улучшает результаты традиционной терапии и может быть рекомендован для комплексного лечения больных с </w:t>
      </w: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кохлеовестибулярными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расстройствами и купирования состояния </w:t>
      </w:r>
      <w:proofErr w:type="spellStart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гидропса</w:t>
      </w:r>
      <w:proofErr w:type="spellEnd"/>
      <w:r w:rsidRPr="00C31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(водянки) ушного лабиринта.</w:t>
      </w:r>
    </w:p>
    <w:p w:rsidR="008C54E7" w:rsidRDefault="008C54E7"/>
    <w:sectPr w:rsidR="008C54E7" w:rsidSect="008C5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398"/>
    <w:rsid w:val="008C54E7"/>
    <w:rsid w:val="00C31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2018-07-27T10:33:00Z</dcterms:created>
  <dcterms:modified xsi:type="dcterms:W3CDTF">2018-07-27T10:34:00Z</dcterms:modified>
</cp:coreProperties>
</file>