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EC" w:rsidRPr="00A846EC" w:rsidRDefault="00A846EC" w:rsidP="00A846EC">
      <w:pPr>
        <w:spacing w:after="0" w:line="240" w:lineRule="auto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Наджафкулиева П.Г., Мамедов М.М.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t>Effect of maqneto-infrared laser therapy at local complications after alloplasty of ventral hernias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Najafkulieva P.G., Mamedov M.M.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Научный центр хирургии им. акад. М.А. Топчибашева (директор академик Б.А. Агаев) и кафедра IIхирургических болезней Азербайджанского медицинского университета (руков. академик Б.А. Агаев), Баку, Азербайджан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A846EC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Цель: 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разработать меры профилактики гнойно-воспалительных осложнений у больных с обширными гигантскими послеоперационными и рецидивными вентральными грыжами. </w:t>
      </w:r>
      <w:r w:rsidRPr="00A846EC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Материал и методы: 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95 больных, перенесших алло-пластическую операцию по поводу грыжи передней брюшной стенки в 2002-2007 гг. Контрольную группу составили 52 больных, которым проводили традиционное лечение. В основную группу включили 43 больных, которым в пос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softHyphen/>
        <w:t>леоперационном периоде дополнительно применяли магнитолазерную терапию двух видов: 32 пациентам (первая подгруппа) проводили сеансы чрескожного воздействия на область раны аппаратом МИЛТА-Ф (Россия; параметры: 20 мВт, 1500 Hz, ежедневно по 10 мин, 7-8 сеансов, начиная со 2-го дня после операции), 11 больных (вторая подгруппа) получали сеансы чрездренажного воздействия аппаратом Агаева А.Б. (АБА; параметры: переменное магнитное поле, частота 50 Гц, индукция 40 мТл, выходная мощность 3 Вт; лазерное излучение длиной волны 0,85 мкм, импульсный режим 1500 Гц, выходная мощность 6 Вт в импульсе, частота 600 Гц). </w:t>
      </w:r>
      <w:r w:rsidRPr="00A846EC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Результаты: 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 контрольной группе 15 больных (28,8%) имели различные послеоперационные осложнения: серома, инфильтрат, нагноение послеоперационной раны, болевой синдром в течение </w:t>
      </w:r>
      <w:r w:rsidRPr="00A846EC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6 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дней, подъем температуры тела до 38-39 °С. Выписаны из клиники на 12-14-е сутки. Ана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softHyphen/>
        <w:t>логичные осложнения в течение 4 дней и подъем температуры до 37-38 °С отмечены лишь у 4 больных (12,5%) первой подгруппы, которые были выписаны на 9-11-е сутки. У всех 11 больных (100%) второй подгруппы рана зажила первич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softHyphen/>
        <w:t>ным натяжением, вышеуказанных осложнений не наблюдали, выписка из стационара на 7-9-е сутки после операции. </w:t>
      </w:r>
      <w:r w:rsidRPr="00A846EC">
        <w:rPr>
          <w:rFonts w:ascii="Arial" w:eastAsia="Times New Roman" w:hAnsi="Arial" w:cs="Arial"/>
          <w:b/>
          <w:bCs/>
          <w:i/>
          <w:iCs/>
          <w:color w:val="232323"/>
          <w:sz w:val="27"/>
          <w:lang w:eastAsia="ru-RU"/>
        </w:rPr>
        <w:t>Выводы: 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включение в послеоперационную терапию обширных гигантских и рецидивных вентральных грыж сеансов магнитолазерных воздействий (подкожно через дренаж) является эффективной мерой профилактики послеоперацион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softHyphen/>
        <w:t>ных осложнений.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Ключевыеслова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: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послеоперационныевентральныегрыжи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,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магнитолазеротерапия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,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осложнения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A846EC">
        <w:rPr>
          <w:rFonts w:ascii="Arial" w:eastAsia="Times New Roman" w:hAnsi="Arial" w:cs="Arial"/>
          <w:b/>
          <w:bCs/>
          <w:i/>
          <w:iCs/>
          <w:color w:val="232323"/>
          <w:sz w:val="27"/>
          <w:lang w:val="en-US" w:eastAsia="ru-RU"/>
        </w:rPr>
        <w:t>Purpose: 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t>To develop propbylactic measures against suppurative-inflammatory complications in patients operated on for gigantic hernias in the abdominal wall. </w:t>
      </w:r>
      <w:r w:rsidRPr="00A846EC">
        <w:rPr>
          <w:rFonts w:ascii="Arial" w:eastAsia="Times New Roman" w:hAnsi="Arial" w:cs="Arial"/>
          <w:b/>
          <w:bCs/>
          <w:i/>
          <w:iCs/>
          <w:color w:val="232323"/>
          <w:sz w:val="27"/>
          <w:lang w:val="en-US" w:eastAsia="ru-RU"/>
        </w:rPr>
        <w:t>Material and methods: 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t xml:space="preserve">During 2002-2007 95 patients had alloplasty for hernias of the abominal anterior wall. These 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lastRenderedPageBreak/>
        <w:t>patients had post-surgical recurrent ventral hernias. The control group included 52 patients who had traditional treatment. The study group had two sub-groups: the first sub-group had 32 patients; in this group patients had traditional treatment plus magneto-laser therapy with «MILTA-F» (20 mW, Russia) device to the wound. The second sub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softHyphen/>
        <w:t>group had 11 patients. In this group patients had laser therapy with «ABA» laser (5-6 W). Laser light was delivered by light transmitter directly through the drainage line put in the hypodermic cavity. </w:t>
      </w:r>
      <w:r w:rsidRPr="00A846EC">
        <w:rPr>
          <w:rFonts w:ascii="Arial" w:eastAsia="Times New Roman" w:hAnsi="Arial" w:cs="Arial"/>
          <w:b/>
          <w:bCs/>
          <w:i/>
          <w:iCs/>
          <w:color w:val="232323"/>
          <w:sz w:val="27"/>
          <w:lang w:val="en-US" w:eastAsia="ru-RU"/>
        </w:rPr>
        <w:t>Results: 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t>15 patients (28,8%) out of the control group had various complications: seroma, odema, suppurations, pain syndrome during 6 days, tissues were cyanotic. The patients' general condition was satisfactory and they were discharged home by the 12-14 day. In the study group patients had traditional therapy phus magneto-laser therapy. Seroma and odema of the wounds was seen in 4 (12,5%) of the patients from the first sub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softHyphen/>
        <w:t>group, pain syndrome continued till the 4</w:t>
      </w:r>
      <w:r w:rsidRPr="00A846EC">
        <w:rPr>
          <w:rFonts w:ascii="Arial" w:eastAsia="Times New Roman" w:hAnsi="Arial" w:cs="Arial"/>
          <w:b/>
          <w:bCs/>
          <w:color w:val="232323"/>
          <w:sz w:val="27"/>
          <w:vertAlign w:val="superscript"/>
          <w:lang w:val="en-US" w:eastAsia="ru-RU"/>
        </w:rPr>
        <w:t>th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t> day. These patients were discharged home on day 9-11. In the second subgroup in 100% of patients who had transdrainage subcutaneous laser therapy wound healing had primary intension, the patients had no above mentioned complication symptoms and were discharged home on 7-9</w:t>
      </w:r>
      <w:r w:rsidRPr="00A846EC">
        <w:rPr>
          <w:rFonts w:ascii="Arial" w:eastAsia="Times New Roman" w:hAnsi="Arial" w:cs="Arial"/>
          <w:b/>
          <w:bCs/>
          <w:color w:val="232323"/>
          <w:sz w:val="27"/>
          <w:vertAlign w:val="superscript"/>
          <w:lang w:val="en-US" w:eastAsia="ru-RU"/>
        </w:rPr>
        <w:t>th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val="en-US" w:eastAsia="ru-RU"/>
        </w:rPr>
        <w:t> days. Thus, the most effective prophylactic way against surgical complications in gigantic, recurrent hernias is subcutaneous transcatheter magnet-laser therapy. </w:t>
      </w:r>
      <w:r w:rsidRPr="00A846EC">
        <w:rPr>
          <w:rFonts w:ascii="Arial" w:eastAsia="Times New Roman" w:hAnsi="Arial" w:cs="Arial"/>
          <w:b/>
          <w:bCs/>
          <w:i/>
          <w:iCs/>
          <w:color w:val="232323"/>
          <w:sz w:val="27"/>
          <w:lang w:val="en-US" w:eastAsia="ru-RU"/>
        </w:rPr>
        <w:t>Key words: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post-surgical ventral hernia, magnet-laser therapy, complications.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Актуальность проблемы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Несмотря на постоянное совершенствование техники хирургических операций, количество больных, страдающих послеоперационными вентральными грыжами (ПВГ), остается достаточно высоким. По данным разных авторов [4,9,13], после операций на органах брюшной полости у 5-20% больных фор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мируются послеоперационные вентральные грыжи. Рецидивы ПВГ после первичных операций наблю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даются у 5-45%, а после повторных у 21-61% [10, 12, 17].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Ведущую роль в возникновении и развитии реци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дивов послеоперационных вентральных грыж часто играют случаи развития гнойно-воспалительных ос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ложнений раны [16, 18].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Учитывая сохраняющийся и в настоящее вре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мя высокий процент развития осложнений среди оперированных больных, рассматриваемая сложная проблема остается актуальной. Проблема лечения больных с послеоперационными вентральными гры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жами (ПВГ) в связи с указаниями требует разработок новых комплексных подходов лечения с использо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ванием современных технологий, которые, возмож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но, позволят уменьшить число послеоперационных раневых осложнений и развития рецидивов грыж [8,11].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Основанием для использования переменного магнито-ИК-лазерного излучения для профилактики развития гнойно-воспалительных осложнений в опе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рационной ране послужило то, что ткань передней брюшной стенки обладает способностью максималь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но поглощать 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лазерную энергию в видимом крас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ном и ближнем инфракрасном диапазонах спектра и обладает свойством парамагнетизма [1, 5-7, 14, 15]. Кроме того, мы исходили из известных: противо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воспалительном, противоотечном, аналгезирующем, десенсибилизирующем и иммунокорригирующем действиях магнито-ИК-лазерного излучения [1-3]. </w:t>
      </w: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Целью исследования является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разработка мер профилактики развития гнойно-воспалительных ос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ложнений ран при хирургическом лечении больных с обширными гигантскими послеоперационными и рецидивными вентральными грыжами.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Материал и методы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За период с 2002 по 2007 годы в Научном центре хирургии им. М.А. Топчибашева на лечении нахо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дились 95 больных, перенесших аллопластическую операцию по поводу грыж передней брюшной стен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ки. Среди оперированных 75 (78,9%) составляли женщины, а 20 (21,1%) - мужчины.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По возрастному составу больные распределялись следующим образом: 20-30 лет - 2 пациента, от 31 до 40 лет-9, от 41 до 50-29, от51 до 60-29, от61 до 70 - 18, а от 71 до 80 - 8 больных (табл. 1).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 48 (50,5%) больных, перенесших ранее опе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рации по поводу вентральной грыжи и имевших рецидивы, и у 47 (49,5%) остальных больных с пос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леоперационной вентральной грыжей (оперирован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ных ранее по поводу других заболеваний) были про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изведены аллопластические операции. Ожирением страдали 23 (24,2%) пациента, при этом ожирение II степени имели 9 пациентов, III степени -10.боль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ных, а IV степени - 4 пациента. Среди 95 больных с послеоперационными вентральными грыжами состояние 53 пациентов (55,8%) было отягощено другими сопутствующими заболеваниями (табл. 2). Размеры грыжи были в пределах от 10 х 15 х 20 до 25x20x15 см.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Для устранения деффекта передней стенки живо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та у оперированных больных проведена аллопласти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ка передней брюшной стенки проленовыми сетками размерами 6хЦ;15х15 или 30 х 30 см производства фирмы «Etikon limited» (Великобритания). После операции аллопротезирования мы не наблюдали слу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чаев отторжения аллотрансплантата.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Все больные были разделены на 2 группы: в 1-ю (контрольная) группу вошли 52 больных, которым в послеоперационном периоде не проводили сеансов магнитолазерной терапии (традиционное ведение), во 2-ю (основная) группу вошли 43 больных, которые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232323"/>
          <w:sz w:val="27"/>
          <w:szCs w:val="27"/>
          <w:lang w:eastAsia="ru-RU"/>
        </w:rPr>
        <w:drawing>
          <wp:inline distT="0" distB="0" distL="0" distR="0">
            <wp:extent cx="1400175" cy="1400175"/>
            <wp:effectExtent l="19050" t="0" r="9525" b="0"/>
            <wp:docPr id="1" name="Рисунок 1" descr="https://milta-f.ru/images/vliyani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lta-f.ru/images/vliyanie002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46EC" w:rsidRPr="00A846EC" w:rsidRDefault="00A846EC" w:rsidP="00A846EC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⁪ Женщины   ■ Мужчины</w:t>
      </w:r>
    </w:p>
    <w:p w:rsidR="00A846EC" w:rsidRPr="00A846EC" w:rsidRDefault="00A846EC" w:rsidP="00A846EC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Рис. 1. Процентное соотношение мужчин и женщин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 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Таблица 1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Распределение больных по возрасту и полу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A846EC" w:rsidRPr="00A846EC" w:rsidRDefault="00A846EC" w:rsidP="00A846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625"/>
        <w:gridCol w:w="625"/>
        <w:gridCol w:w="621"/>
        <w:gridCol w:w="623"/>
        <w:gridCol w:w="623"/>
        <w:gridCol w:w="460"/>
        <w:gridCol w:w="486"/>
        <w:gridCol w:w="450"/>
        <w:gridCol w:w="450"/>
      </w:tblGrid>
      <w:tr w:rsidR="00A846EC" w:rsidRPr="00A846EC" w:rsidTr="00A846EC">
        <w:tc>
          <w:tcPr>
            <w:tcW w:w="1095" w:type="dxa"/>
            <w:vMerge w:val="restart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Клинические группы</w:t>
            </w:r>
          </w:p>
        </w:tc>
        <w:tc>
          <w:tcPr>
            <w:tcW w:w="2670" w:type="dxa"/>
            <w:gridSpan w:val="6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Возраст в годах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</w:p>
        </w:tc>
      </w:tr>
      <w:tr w:rsidR="00A846EC" w:rsidRPr="00A846EC" w:rsidTr="00A846EC">
        <w:tc>
          <w:tcPr>
            <w:tcW w:w="0" w:type="auto"/>
            <w:vMerge/>
            <w:vAlign w:val="center"/>
            <w:hideMark/>
          </w:tcPr>
          <w:p w:rsidR="00A846EC" w:rsidRPr="00A846EC" w:rsidRDefault="00A846EC" w:rsidP="00A846EC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</w:p>
        </w:tc>
        <w:tc>
          <w:tcPr>
            <w:tcW w:w="900" w:type="dxa"/>
            <w:gridSpan w:val="2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до 40 лет</w:t>
            </w:r>
          </w:p>
        </w:tc>
        <w:tc>
          <w:tcPr>
            <w:tcW w:w="885" w:type="dxa"/>
            <w:gridSpan w:val="2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41-60</w:t>
            </w:r>
          </w:p>
        </w:tc>
        <w:tc>
          <w:tcPr>
            <w:tcW w:w="900" w:type="dxa"/>
            <w:gridSpan w:val="2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старше 60</w:t>
            </w:r>
          </w:p>
        </w:tc>
        <w:tc>
          <w:tcPr>
            <w:tcW w:w="900" w:type="dxa"/>
            <w:gridSpan w:val="2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i/>
                <w:iCs/>
                <w:color w:val="232323"/>
                <w:sz w:val="27"/>
                <w:lang w:eastAsia="ru-RU"/>
              </w:rPr>
              <w:t>всего</w:t>
            </w:r>
          </w:p>
        </w:tc>
      </w:tr>
      <w:tr w:rsidR="00A846EC" w:rsidRPr="00A846EC" w:rsidTr="00A846EC">
        <w:tc>
          <w:tcPr>
            <w:tcW w:w="0" w:type="auto"/>
            <w:vMerge/>
            <w:vAlign w:val="center"/>
            <w:hideMark/>
          </w:tcPr>
          <w:p w:rsidR="00A846EC" w:rsidRPr="00A846EC" w:rsidRDefault="00A846EC" w:rsidP="00A846EC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м.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ж.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м.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ж.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м.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ж.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b/>
                <w:bCs/>
                <w:color w:val="232323"/>
                <w:sz w:val="27"/>
                <w:lang w:eastAsia="ru-RU"/>
              </w:rPr>
              <w:t>м.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ж.</w:t>
            </w:r>
          </w:p>
        </w:tc>
      </w:tr>
      <w:tr w:rsidR="00A846EC" w:rsidRPr="00A846EC" w:rsidTr="00A846EC">
        <w:tc>
          <w:tcPr>
            <w:tcW w:w="109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Контрольная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31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43</w:t>
            </w:r>
          </w:p>
        </w:tc>
      </w:tr>
      <w:tr w:rsidR="00A846EC" w:rsidRPr="00A846EC" w:rsidTr="00A846EC">
        <w:tc>
          <w:tcPr>
            <w:tcW w:w="109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Основная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33</w:t>
            </w:r>
          </w:p>
        </w:tc>
      </w:tr>
      <w:tr w:rsidR="00A846EC" w:rsidRPr="00A846EC" w:rsidTr="00A846EC">
        <w:tc>
          <w:tcPr>
            <w:tcW w:w="1095" w:type="dxa"/>
            <w:vMerge w:val="restart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i/>
                <w:iCs/>
                <w:color w:val="232323"/>
                <w:sz w:val="27"/>
                <w:lang w:eastAsia="ru-RU"/>
              </w:rPr>
              <w:t>Всего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45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76</w:t>
            </w:r>
          </w:p>
        </w:tc>
      </w:tr>
      <w:tr w:rsidR="00A846EC" w:rsidRPr="00A846EC" w:rsidTr="00A846EC">
        <w:tc>
          <w:tcPr>
            <w:tcW w:w="0" w:type="auto"/>
            <w:vMerge/>
            <w:vAlign w:val="center"/>
            <w:hideMark/>
          </w:tcPr>
          <w:p w:rsidR="00A846EC" w:rsidRPr="00A846EC" w:rsidRDefault="00A846EC" w:rsidP="00A846EC">
            <w:pPr>
              <w:spacing w:after="0" w:line="240" w:lineRule="auto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</w:p>
        </w:tc>
        <w:tc>
          <w:tcPr>
            <w:tcW w:w="900" w:type="dxa"/>
            <w:gridSpan w:val="2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11(11,6%)</w:t>
            </w:r>
          </w:p>
        </w:tc>
        <w:tc>
          <w:tcPr>
            <w:tcW w:w="885" w:type="dxa"/>
            <w:gridSpan w:val="2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60(63,2%)</w:t>
            </w:r>
          </w:p>
        </w:tc>
        <w:tc>
          <w:tcPr>
            <w:tcW w:w="900" w:type="dxa"/>
            <w:gridSpan w:val="2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24 (25,2%)</w:t>
            </w:r>
          </w:p>
        </w:tc>
        <w:tc>
          <w:tcPr>
            <w:tcW w:w="900" w:type="dxa"/>
            <w:gridSpan w:val="2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95 (100%)</w:t>
            </w:r>
          </w:p>
        </w:tc>
      </w:tr>
    </w:tbl>
    <w:p w:rsidR="00A846EC" w:rsidRPr="00A846EC" w:rsidRDefault="00A846EC" w:rsidP="00A846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Таблица 2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Характер сопутствующих заболеваний у больных послеоперационными вентральными грыжами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A846EC" w:rsidRPr="00A846EC" w:rsidRDefault="00A846EC" w:rsidP="00A846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445"/>
        <w:gridCol w:w="1234"/>
        <w:gridCol w:w="1625"/>
      </w:tblGrid>
      <w:tr w:rsidR="00A846EC" w:rsidRPr="00A846EC" w:rsidTr="00A846EC">
        <w:tc>
          <w:tcPr>
            <w:tcW w:w="244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divId w:val="1668510461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Заболевания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Основная группа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Контрольная группа</w:t>
            </w:r>
          </w:p>
        </w:tc>
      </w:tr>
      <w:tr w:rsidR="00A846EC" w:rsidRPr="00A846EC" w:rsidTr="00A846EC">
        <w:tc>
          <w:tcPr>
            <w:tcW w:w="244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Сахарный диабет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</w:t>
            </w:r>
          </w:p>
        </w:tc>
      </w:tr>
      <w:tr w:rsidR="00A846EC" w:rsidRPr="00A846EC" w:rsidTr="00A846EC">
        <w:tc>
          <w:tcPr>
            <w:tcW w:w="244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Ишемическая болезнь сердца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5</w:t>
            </w:r>
          </w:p>
        </w:tc>
      </w:tr>
      <w:tr w:rsidR="00A846EC" w:rsidRPr="00A846EC" w:rsidTr="00A846EC">
        <w:tc>
          <w:tcPr>
            <w:tcW w:w="244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Гипертоническая болезнь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9</w:t>
            </w:r>
          </w:p>
        </w:tc>
      </w:tr>
      <w:tr w:rsidR="00A846EC" w:rsidRPr="00A846EC" w:rsidTr="00A846EC">
        <w:tc>
          <w:tcPr>
            <w:tcW w:w="244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Хронический бронхит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</w:t>
            </w:r>
          </w:p>
        </w:tc>
      </w:tr>
      <w:tr w:rsidR="00A846EC" w:rsidRPr="00A846EC" w:rsidTr="00A846EC">
        <w:tc>
          <w:tcPr>
            <w:tcW w:w="244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Хронический колит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2</w:t>
            </w:r>
          </w:p>
        </w:tc>
      </w:tr>
      <w:tr w:rsidR="00A846EC" w:rsidRPr="00A846EC" w:rsidTr="00A846EC">
        <w:tc>
          <w:tcPr>
            <w:tcW w:w="244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Гастродуоденит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</w:t>
            </w:r>
          </w:p>
        </w:tc>
      </w:tr>
      <w:tr w:rsidR="00A846EC" w:rsidRPr="00A846EC" w:rsidTr="00A846EC">
        <w:tc>
          <w:tcPr>
            <w:tcW w:w="244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Спаечная болезнь брюшины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7</w:t>
            </w:r>
          </w:p>
        </w:tc>
      </w:tr>
      <w:tr w:rsidR="00A846EC" w:rsidRPr="00A846EC" w:rsidTr="00A846EC">
        <w:tc>
          <w:tcPr>
            <w:tcW w:w="244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Анемия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</w:t>
            </w:r>
          </w:p>
        </w:tc>
      </w:tr>
      <w:tr w:rsidR="00A846EC" w:rsidRPr="00A846EC" w:rsidTr="00A846EC">
        <w:tc>
          <w:tcPr>
            <w:tcW w:w="2445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 </w:t>
            </w:r>
            <w:r w:rsidRPr="00A846EC">
              <w:rPr>
                <w:rFonts w:ascii="Arial" w:eastAsia="Times New Roman" w:hAnsi="Arial" w:cs="Arial"/>
                <w:i/>
                <w:iCs/>
                <w:color w:val="232323"/>
                <w:sz w:val="27"/>
                <w:lang w:eastAsia="ru-RU"/>
              </w:rPr>
              <w:t>Всего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1110" w:type="dxa"/>
            <w:hideMark/>
          </w:tcPr>
          <w:p w:rsidR="00A846EC" w:rsidRPr="00A846EC" w:rsidRDefault="00A846EC" w:rsidP="00A846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</w:pPr>
            <w:r w:rsidRPr="00A846EC">
              <w:rPr>
                <w:rFonts w:ascii="Arial" w:eastAsia="Times New Roman" w:hAnsi="Arial" w:cs="Arial"/>
                <w:color w:val="232323"/>
                <w:sz w:val="27"/>
                <w:szCs w:val="27"/>
                <w:lang w:eastAsia="ru-RU"/>
              </w:rPr>
              <w:t>39</w:t>
            </w:r>
          </w:p>
        </w:tc>
      </w:tr>
    </w:tbl>
    <w:p w:rsidR="00A846EC" w:rsidRPr="00A846EC" w:rsidRDefault="00A846EC" w:rsidP="00A846E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были дополнительно разделены на 2 подгруппы. В 1 -ю основную подгруппу были включены 32 пациента, которым в дополнение к традиционной методике лече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ния в послеоперационном периоде проводили сеансы чрескожной магнито-ИК-лазерной терапии (аппарат «МИЛТА-Ф», мощность 20 мВт), воздействуя на об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ласть раны.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Вторую основную подгруппу составили 11 боль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ных, у которых традиционное лечение в послеопера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ционном периоде дополняли сеансами чрездренаж-ной подкожной МИЛ-терапии с помощью аппарата Агаева Б.А. (АБА) мощностью 5-6 Вт.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 послеоперационном периоде область раны ежедневно обрабатывали антисептиками и прикла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дывали асептические повязки, проводили антибак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териальную и инфузионную терапию, применяли болеутоляющие средства. Большинству больных было разрешено двигаться и ходить спустя 2-3 дня после выполненной операции, при этом обязательно использовали эластичные бандажи.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Для предупреждения тромбоэмболии с первого после операции дня больным назначали антиагре-ганты и антикоагулянты. Больным 1-й подгруппы А в раннем послеоперационном периоде сеансы магни-толазерного воздействия на область раны проводили ежедневно в течение 10 мин, начиная со 2-го дня после операции. Курс лечения состоял из проведе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ния 7-8 сеансов воздействия мощностью 20 мВт, 1500 Hz. Во 2-й основной подгруппе В был применен чрездренажный подкожный метод лазерной терапии. Воздействие лазерного излучения осуществляли с помощью световода от аппарата «МИЛТА-Ф», а пульсирующих электромагнитных волн от источника 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аппарата Агаева Б. А. (АБА). Параметры чрездренаж-ной подкожной МИЛ-терапии: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переменное магнитное поле: частота - 50 Гц, индукция 40 мТл, выходная мощность - 3 Вт;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- лазерное излучение: длина волны излучения -0,85 мкм, режим - импульсный - 1500 Гц, мощ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ность выходная - 6 Вт в импульсе, частота - 600 Гц, чрездренажную подкожную МИЛ-терапию проводи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ли ежедневно в течение 10 мин, начиная со второго дня после операции.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Результаты операции оценивали путем динами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ческого наблюдения за заживлением раны в клини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ческих условиях.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Результаты произведенной операции проводили на основании оценок локальных и общих критериев. Локальные: цвет тканей, ощущение боли в ране, отек раны, покраснение, состояние швов и характер выде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лений из раны. Общие: общее состояние больного, температура у больного, лабораторные показания и результаты УЗИ.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Обсуждение результатов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 15 (28,8%) больных контрольной группы, по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лучивших традиционное лечение, мы наблюдали различные послеоперационные осложнения: обра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зование серомы, инфильтрата, отек, нагноение раны, болевой синдром в течение 6 суток после операции, ткани были с явлениями 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цианоза, температура тела у больных повышалась до 38-39 °С. Эти больные были выписаны на 12-14-е сутки после операции.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 4 (12,5%) больных основной подгруппы А, ко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торым на сроке традиционного лечения был проведен курс магнитолазерной терапии, имели место серома, отек в ране, болевой синдром в течение 4 суток после операции, повышение температуры тела до 37-38 °С, больные были выписаны на 9-11-е сутки.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 всех больных основной подгруппы В, которым проводили сеансы чрездренажной подкожной лазер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ной терапии, раны зажили первичным натяжением. У них не было отмечено случаев развития указанных выше симптомов. Больных выписывали из клиники на 7-9-е сутки после операции.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Результаты изучения структуры осложнений в исследуемых группах показали, что местные ослож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нения в раннем послеоперационном периоде: ин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фильтраты, серома и нагноение послеоперационной раны, - чаще развивались у больных, у которых в послеоперационном периоде не проводили сеансов магнитолазерного воздействия.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Заключение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Таким образом, при хирургическом лечении ги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гантских, обширных, в том числе рецидивных грыж перспективным методом профилактики развития гнойно-воспалительных осложнений раны являет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ся проведение сеансов подкожного чрескатетерного применения магнитолазерной терапии. 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Этот метод способствует быстрому устранению воспалительных процессов в послеоперационной ране, улучшает микроциркупяцию, ускоряет процесс заживления ран, значительно повышает эффектив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ность лечения и сокращает сроки послеоперацион-ного периода, позволяет сократить сроки пребывания оперированных больных в стационаре.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b/>
          <w:bCs/>
          <w:color w:val="232323"/>
          <w:sz w:val="27"/>
          <w:lang w:eastAsia="ru-RU"/>
        </w:rPr>
        <w:t>Литература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1.   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Агаев Б.А., Мамедов А.А,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Интракорпоральный способ при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менения магнитоинфракрасного лазерного излучения в профилактике и лечении печеночной недостаточности при механической желтухе неопухолевого генеза // Азербайжан тибб журналы. Баку. 2005. № 1. С. 38-42.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2.    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Агаев Б.А., Мамедов А.А., Мамедов ММ.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Интракорпораль-ная переменная магнитолазерная терапия в коррекции перекисного окисления липидов у больных с механической желтухой // Анналы хирургической гепатологии. 2006. 3. С. 177.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3.    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Мамедов АЛ., Мамедов М.М., Ниязов А.Ш.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Использование переменного магнито-ИК-лазерного излучения при механи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ческой желтухе неопухолевого генеза // Материалы Меж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дународной научно-практической конференции «Лазерные технологии в медицинской науке и практическом здравоох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ранении». Москва, 7-8 октября, 2004 г. С. 31-33.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4.    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Исаев Г.Б., Бадалов Э.А.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Герниопластика по методу Лихтен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штейна // Хирурги. 2005.2. С. 115-119.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5.   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Кошелев В.Н.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Лазеры в клинической медицине. Медицина,   1981.330 с.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lastRenderedPageBreak/>
        <w:t>6.    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Олесин А.И., Павлов PH., Мажара Ю.П., Лобанов Н.А.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Механизм действия лазерного излучения // Актуальные про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блемы применения магнитных и электромагнитных полей в медицине: Тез. докл. всесоюзн. конф. Л., 1990. С. 157-158.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7.    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Байбеков ИМ., Касымов АХ., Козлов В.И.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Морфологические основы низкоинтенсивной лазертерапии. - Ташкент: Изд-во им. Ибн Сины, 1991. С. 223.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8.    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Белоконев В.И, Пушкин С.Ю., Ковалева З.В.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Пластика брюш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ной стенки при вентральных грыжах комбинированным способом // Хирургия. 2000. 8. С. 24-26.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9.    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Саенко В.Ф., Белянскии Л.С., Манойло Н.В.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Современные направления открытой пластики грыжи брюшной стенки // Клин. хир. 2001.6. С. 59-64.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10. 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Ким В.Ю., Волков В.В., Карашуров Е. С, ВанюковА.В., Кара-шуров СЕ.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Герниопластика аутодермальным лоскутом при рецидивных и послеоперационных грыжах // Хирургия. 2001. 8. С. 37-40.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11. 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Грубник В.В., Лосев А.А., Баязитов H.P., Парфентье P.C.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Современные методы лечения брюшных грыж. К.: Здоровя, 2001. С. 97-98.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12.   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Лювянский В.Г., Насонов СВ., Кожемяцкий В.И. и др.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Хирургическое лечение рецидивных послеоперационных вентральных грыж // Хирургия. 2004. 11. С. 22-23.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13. 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Ермолов А.С., Алексеев А.К., УпыревА.В., Ильичев В. А., Горча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softHyphen/>
        <w:t>ков В.К., Черняева НА.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Выбор способа пластики послеопера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ционных грыж живота полипропиленовыми эндопротезами // Хирургия. 2005. 8. С. 16-21.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14. 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Pasarella S., Quagliariello E., Catalano I.M.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Laser in biochemis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softHyphen/>
        <w:t>try and medicine // Ital. G. Biochem. 1980. Vol. 29. P. 463-464.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15. 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Bahr F.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Laser and biolojische systeme // Akupunctur. 1986. B. 3. S. 3-10.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16. 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Nyhus L.M., Condon R.E.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Hernia. Philadelphia; J. B. Lippincou Co. 1995. 615.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17. 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Klinge U., Klosterhatfen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В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val="en-US" w:eastAsia="ru-RU"/>
        </w:rPr>
        <w:t>., Conze J. et al.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 xml:space="preserve">Modified mesh for hernia repair that is adapted to the physiology of the abdominal wall//Eur J. Surg. 1998. 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164. 12.951-960.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18. </w:t>
      </w: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Goldstein H.S. </w:t>
      </w:r>
      <w:r w:rsidRPr="00A846EC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Hernia. 1999. 101.127-135.</w:t>
      </w:r>
    </w:p>
    <w:p w:rsidR="00A846EC" w:rsidRPr="00A846EC" w:rsidRDefault="00A846EC" w:rsidP="00A846EC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A846EC">
        <w:rPr>
          <w:rFonts w:ascii="Arial" w:eastAsia="Times New Roman" w:hAnsi="Arial" w:cs="Arial"/>
          <w:i/>
          <w:iCs/>
          <w:color w:val="232323"/>
          <w:sz w:val="27"/>
          <w:lang w:eastAsia="ru-RU"/>
        </w:rPr>
        <w:t>Поступила в редакцию 14.08.2007 г.</w:t>
      </w:r>
    </w:p>
    <w:p w:rsidR="00B57198" w:rsidRDefault="00B57198"/>
    <w:sectPr w:rsidR="00B57198" w:rsidSect="00B57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46EC"/>
    <w:rsid w:val="00A846EC"/>
    <w:rsid w:val="00B5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6EC"/>
    <w:rPr>
      <w:b/>
      <w:bCs/>
    </w:rPr>
  </w:style>
  <w:style w:type="character" w:styleId="a4">
    <w:name w:val="Emphasis"/>
    <w:basedOn w:val="a0"/>
    <w:uiPriority w:val="20"/>
    <w:qFormat/>
    <w:rsid w:val="00A846EC"/>
    <w:rPr>
      <w:i/>
      <w:iCs/>
    </w:rPr>
  </w:style>
  <w:style w:type="paragraph" w:styleId="a5">
    <w:name w:val="Normal (Web)"/>
    <w:basedOn w:val="a"/>
    <w:uiPriority w:val="99"/>
    <w:semiHidden/>
    <w:unhideWhenUsed/>
    <w:rsid w:val="00A84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2301</Words>
  <Characters>13120</Characters>
  <Application>Microsoft Office Word</Application>
  <DocSecurity>0</DocSecurity>
  <Lines>109</Lines>
  <Paragraphs>30</Paragraphs>
  <ScaleCrop>false</ScaleCrop>
  <Company/>
  <LinksUpToDate>false</LinksUpToDate>
  <CharactersWithSpaces>15391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2018-07-30T06:55:00Z</dcterms:created>
  <dcterms:modified xsi:type="dcterms:W3CDTF">2018-07-30T06:55:00Z</dcterms:modified>
</cp:coreProperties>
</file>